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D3" w:rsidRDefault="00760730">
      <w:pPr>
        <w:pStyle w:val="Corpotesto"/>
        <w:ind w:left="443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8910" cy="713231"/>
            <wp:effectExtent l="0" t="0" r="0" b="0"/>
            <wp:docPr id="1" name="image1.jpeg" descr="Immagine che contiene emblema, simbolo, badge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1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D3" w:rsidRDefault="00F570D3">
      <w:pPr>
        <w:pStyle w:val="Corpotesto"/>
        <w:spacing w:before="6"/>
        <w:ind w:left="0"/>
        <w:jc w:val="left"/>
        <w:rPr>
          <w:rFonts w:ascii="Times New Roman"/>
          <w:sz w:val="6"/>
        </w:rPr>
      </w:pPr>
    </w:p>
    <w:p w:rsidR="00F570D3" w:rsidRDefault="00760730">
      <w:pPr>
        <w:pStyle w:val="Titolo"/>
        <w:spacing w:before="82"/>
        <w:ind w:left="2060"/>
      </w:pPr>
      <w:r>
        <w:t>TRIBUNALE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NAPOLI</w:t>
      </w:r>
      <w:r>
        <w:rPr>
          <w:spacing w:val="-6"/>
        </w:rPr>
        <w:t xml:space="preserve"> </w:t>
      </w:r>
      <w:r>
        <w:t>NORD</w:t>
      </w:r>
    </w:p>
    <w:p w:rsidR="00F570D3" w:rsidRDefault="00760730">
      <w:pPr>
        <w:pStyle w:val="Titolo"/>
      </w:pPr>
      <w:r>
        <w:t>Terza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t>civile</w:t>
      </w:r>
    </w:p>
    <w:p w:rsidR="00F570D3" w:rsidRDefault="00760730">
      <w:pPr>
        <w:ind w:left="3438" w:right="3442"/>
        <w:jc w:val="center"/>
        <w:rPr>
          <w:b/>
          <w:sz w:val="26"/>
        </w:rPr>
      </w:pPr>
      <w:r>
        <w:rPr>
          <w:b/>
          <w:sz w:val="26"/>
        </w:rPr>
        <w:t>Area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esecuzioni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(Collegio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B)</w:t>
      </w:r>
    </w:p>
    <w:p w:rsidR="00F570D3" w:rsidRDefault="00F570D3">
      <w:pPr>
        <w:pStyle w:val="Corpotesto"/>
        <w:ind w:left="0"/>
        <w:jc w:val="left"/>
        <w:rPr>
          <w:b/>
          <w:sz w:val="28"/>
        </w:rPr>
      </w:pPr>
    </w:p>
    <w:p w:rsidR="00F570D3" w:rsidRDefault="00F570D3">
      <w:pPr>
        <w:pStyle w:val="Corpotesto"/>
        <w:spacing w:before="2"/>
        <w:ind w:left="0"/>
        <w:jc w:val="left"/>
        <w:rPr>
          <w:b/>
          <w:sz w:val="21"/>
        </w:rPr>
      </w:pPr>
    </w:p>
    <w:p w:rsidR="00F570D3" w:rsidRDefault="00760730">
      <w:pPr>
        <w:spacing w:line="360" w:lineRule="auto"/>
        <w:ind w:left="2794" w:right="2793"/>
        <w:jc w:val="center"/>
        <w:rPr>
          <w:b/>
          <w:sz w:val="24"/>
        </w:rPr>
      </w:pPr>
      <w:r>
        <w:rPr>
          <w:b/>
          <w:sz w:val="24"/>
        </w:rPr>
        <w:t>CONVERSIONE DEL PIGNORAMENTO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495 C.P.C.)</w:t>
      </w:r>
    </w:p>
    <w:p w:rsidR="00F570D3" w:rsidRDefault="00760730">
      <w:pPr>
        <w:spacing w:before="1"/>
        <w:ind w:left="2060" w:right="2060"/>
        <w:jc w:val="center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PRESENTAZIONE:</w:t>
      </w:r>
    </w:p>
    <w:p w:rsidR="00F570D3" w:rsidRDefault="00760730">
      <w:pPr>
        <w:pStyle w:val="Paragrafoelenco"/>
        <w:numPr>
          <w:ilvl w:val="0"/>
          <w:numId w:val="2"/>
        </w:numPr>
        <w:tabs>
          <w:tab w:val="left" w:pos="3323"/>
        </w:tabs>
        <w:spacing w:before="144"/>
        <w:ind w:right="0"/>
        <w:jc w:val="left"/>
        <w:rPr>
          <w:b/>
          <w:sz w:val="24"/>
        </w:rPr>
      </w:pPr>
      <w:r>
        <w:rPr>
          <w:b/>
          <w:sz w:val="24"/>
        </w:rPr>
        <w:t>DELL’ISTANZA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DEBITORE</w:t>
      </w:r>
    </w:p>
    <w:p w:rsidR="00F570D3" w:rsidRDefault="00760730">
      <w:pPr>
        <w:pStyle w:val="Paragrafoelenco"/>
        <w:numPr>
          <w:ilvl w:val="0"/>
          <w:numId w:val="2"/>
        </w:numPr>
        <w:tabs>
          <w:tab w:val="left" w:pos="1724"/>
        </w:tabs>
        <w:spacing w:before="144"/>
        <w:ind w:left="1723" w:right="0" w:hanging="250"/>
        <w:jc w:val="left"/>
        <w:rPr>
          <w:b/>
          <w:sz w:val="24"/>
        </w:rPr>
      </w:pPr>
      <w:r>
        <w:rPr>
          <w:b/>
          <w:sz w:val="24"/>
        </w:rPr>
        <w:t>DELL’ISTANZA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CREDITORI</w:t>
      </w:r>
    </w:p>
    <w:p w:rsidR="00F570D3" w:rsidRDefault="00F570D3">
      <w:pPr>
        <w:pStyle w:val="Corpotesto"/>
        <w:ind w:left="0"/>
        <w:jc w:val="left"/>
        <w:rPr>
          <w:b/>
          <w:sz w:val="26"/>
        </w:rPr>
      </w:pPr>
    </w:p>
    <w:p w:rsidR="00F570D3" w:rsidRDefault="00F570D3">
      <w:pPr>
        <w:pStyle w:val="Corpotesto"/>
        <w:spacing w:before="11"/>
        <w:ind w:left="0"/>
        <w:jc w:val="left"/>
        <w:rPr>
          <w:b/>
          <w:sz w:val="21"/>
        </w:rPr>
      </w:pPr>
    </w:p>
    <w:p w:rsidR="00F570D3" w:rsidRDefault="00760730">
      <w:pPr>
        <w:pStyle w:val="Corpotesto"/>
        <w:spacing w:line="360" w:lineRule="auto"/>
        <w:ind w:right="115"/>
      </w:pPr>
      <w:r>
        <w:t>A decorrere dall’8/2/2024 le istanze di conversione del pignoramento e le richieste di pagamento dei</w:t>
      </w:r>
      <w:r>
        <w:rPr>
          <w:spacing w:val="1"/>
        </w:rPr>
        <w:t xml:space="preserve"> </w:t>
      </w:r>
      <w:r>
        <w:t>creditori</w:t>
      </w:r>
      <w:r>
        <w:rPr>
          <w:spacing w:val="-3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presentate</w:t>
      </w:r>
      <w:r>
        <w:rPr>
          <w:spacing w:val="-1"/>
        </w:rPr>
        <w:t xml:space="preserve"> </w:t>
      </w:r>
      <w:r>
        <w:rPr>
          <w:b/>
        </w:rPr>
        <w:t>esclusivamente</w:t>
      </w:r>
      <w:r>
        <w:rPr>
          <w:b/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delineato: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5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debitore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mezzo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avvocato</w:t>
      </w:r>
      <w:r>
        <w:rPr>
          <w:spacing w:val="-8"/>
          <w:sz w:val="24"/>
        </w:rPr>
        <w:t xml:space="preserve"> </w:t>
      </w:r>
      <w:r>
        <w:rPr>
          <w:sz w:val="24"/>
        </w:rPr>
        <w:t>(necessario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poter</w:t>
      </w:r>
      <w:r>
        <w:rPr>
          <w:spacing w:val="-7"/>
          <w:sz w:val="24"/>
        </w:rPr>
        <w:t xml:space="preserve"> </w:t>
      </w:r>
      <w:r>
        <w:rPr>
          <w:sz w:val="24"/>
        </w:rPr>
        <w:t>presentare</w:t>
      </w:r>
      <w:r>
        <w:rPr>
          <w:spacing w:val="-7"/>
          <w:sz w:val="24"/>
        </w:rPr>
        <w:t xml:space="preserve"> </w:t>
      </w:r>
      <w:r>
        <w:rPr>
          <w:sz w:val="24"/>
        </w:rPr>
        <w:t>istanza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conversione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pigno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ramento</w:t>
      </w:r>
      <w:proofErr w:type="spellEnd"/>
      <w:r>
        <w:rPr>
          <w:spacing w:val="-1"/>
          <w:sz w:val="24"/>
        </w:rPr>
        <w:t>),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manifesta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nel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processo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esecutivo</w:t>
      </w:r>
      <w:r>
        <w:rPr>
          <w:spacing w:val="-1"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quindi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con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deposito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telematico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effettuare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fascicolo digitale</w:t>
      </w:r>
      <w:r>
        <w:rPr>
          <w:sz w:val="24"/>
        </w:rPr>
        <w:t>, la volontà di avvalersi della conversione del pignoramento e contemporaneamente</w:t>
      </w:r>
      <w:r>
        <w:rPr>
          <w:spacing w:val="1"/>
          <w:sz w:val="24"/>
        </w:rPr>
        <w:t xml:space="preserve"> </w:t>
      </w:r>
      <w:r>
        <w:rPr>
          <w:sz w:val="24"/>
        </w:rPr>
        <w:t>chiede l’apertura di un conto corrente per il deposito della somma necessaria; utilizza allo scopo 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modello denominato </w:t>
      </w:r>
      <w:r>
        <w:rPr>
          <w:rFonts w:ascii="Calibri" w:hAnsi="Calibri"/>
          <w:b/>
        </w:rPr>
        <w:t>“</w:t>
      </w:r>
      <w:r>
        <w:rPr>
          <w:b/>
          <w:sz w:val="24"/>
        </w:rPr>
        <w:t>RICHIESTA DI APERTURA CONTO PER CONVERSIONE”</w:t>
      </w:r>
      <w:r>
        <w:rPr>
          <w:sz w:val="24"/>
        </w:rPr>
        <w:t>, che, c</w:t>
      </w:r>
      <w:r>
        <w:rPr>
          <w:sz w:val="24"/>
        </w:rPr>
        <w:t>ompi-</w:t>
      </w:r>
      <w:r>
        <w:rPr>
          <w:spacing w:val="-57"/>
          <w:sz w:val="24"/>
        </w:rPr>
        <w:t xml:space="preserve"> </w:t>
      </w:r>
      <w:r>
        <w:rPr>
          <w:sz w:val="24"/>
        </w:rPr>
        <w:t>lato in ogni sua parte, dev’essere sottoscritto digitalmente e, corredato della procura e delle copie 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 di riconoscimento e del codice fiscale del debitore, dev’essere tempestivamente depositato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fascicolo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esecuzione;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61"/>
        </w:tabs>
        <w:spacing w:before="57" w:line="360" w:lineRule="auto"/>
        <w:ind w:right="113"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Il cancelliere comunica all’avvocato del debitore gli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80"/>
        </w:tabs>
        <w:spacing w:before="2" w:line="360" w:lineRule="auto"/>
        <w:ind w:firstLine="0"/>
        <w:jc w:val="both"/>
        <w:rPr>
          <w:sz w:val="24"/>
        </w:rPr>
      </w:pPr>
      <w:r>
        <w:rPr>
          <w:sz w:val="24"/>
        </w:rPr>
        <w:t>Il debitore effettua il versamento iniziale (art. 495, comma 2, c.p.c.) o mediante assegno circolare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trasferibile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versarsi</w:t>
      </w:r>
      <w:r>
        <w:rPr>
          <w:spacing w:val="-8"/>
          <w:sz w:val="24"/>
        </w:rPr>
        <w:t xml:space="preserve"> </w:t>
      </w:r>
      <w:r>
        <w:rPr>
          <w:sz w:val="24"/>
        </w:rPr>
        <w:t>allo</w:t>
      </w:r>
      <w:r>
        <w:rPr>
          <w:spacing w:val="-8"/>
          <w:sz w:val="24"/>
        </w:rPr>
        <w:t xml:space="preserve"> </w:t>
      </w:r>
      <w:r>
        <w:rPr>
          <w:sz w:val="24"/>
        </w:rPr>
        <w:t>sportello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Banca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Credito</w:t>
      </w:r>
      <w:r>
        <w:rPr>
          <w:spacing w:val="-9"/>
          <w:sz w:val="24"/>
        </w:rPr>
        <w:t xml:space="preserve"> </w:t>
      </w:r>
      <w:r>
        <w:rPr>
          <w:sz w:val="24"/>
        </w:rPr>
        <w:t>Popolare,</w:t>
      </w:r>
      <w:r>
        <w:rPr>
          <w:spacing w:val="-8"/>
          <w:sz w:val="24"/>
        </w:rPr>
        <w:t xml:space="preserve"> </w:t>
      </w:r>
      <w:r>
        <w:rPr>
          <w:sz w:val="24"/>
        </w:rPr>
        <w:t>filiale</w:t>
      </w:r>
      <w:r>
        <w:rPr>
          <w:spacing w:val="-7"/>
          <w:sz w:val="24"/>
        </w:rPr>
        <w:t xml:space="preserve"> </w:t>
      </w:r>
      <w:r>
        <w:rPr>
          <w:sz w:val="24"/>
        </w:rPr>
        <w:t>144,</w:t>
      </w:r>
      <w:r>
        <w:rPr>
          <w:spacing w:val="-8"/>
          <w:sz w:val="24"/>
        </w:rPr>
        <w:t xml:space="preserve"> </w:t>
      </w:r>
      <w:r>
        <w:rPr>
          <w:sz w:val="24"/>
        </w:rPr>
        <w:t>Piazza</w:t>
      </w:r>
      <w:r>
        <w:rPr>
          <w:spacing w:val="-9"/>
          <w:sz w:val="24"/>
        </w:rPr>
        <w:t xml:space="preserve"> </w:t>
      </w:r>
      <w:r>
        <w:rPr>
          <w:sz w:val="24"/>
        </w:rPr>
        <w:t>Magenta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18, Aversa, oppure mediante bonifico. </w:t>
      </w:r>
      <w:r>
        <w:rPr>
          <w:b/>
          <w:sz w:val="24"/>
          <w:u w:val="single"/>
        </w:rPr>
        <w:t>Non è con</w:t>
      </w:r>
      <w:r>
        <w:rPr>
          <w:b/>
          <w:sz w:val="24"/>
          <w:u w:val="single"/>
        </w:rPr>
        <w:t>sentito effettuare il versamento in contanti</w:t>
      </w:r>
      <w:r>
        <w:rPr>
          <w:b/>
          <w:sz w:val="24"/>
        </w:rPr>
        <w:t xml:space="preserve"> </w:t>
      </w:r>
      <w:r>
        <w:rPr>
          <w:sz w:val="24"/>
        </w:rPr>
        <w:t xml:space="preserve">(si </w:t>
      </w:r>
      <w:proofErr w:type="spellStart"/>
      <w:r>
        <w:rPr>
          <w:sz w:val="24"/>
        </w:rPr>
        <w:t>ram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menta che è possibile effettuare un bonifico anche senza possedere un conto corrente, ad esempio</w:t>
      </w:r>
      <w:r>
        <w:rPr>
          <w:spacing w:val="1"/>
          <w:sz w:val="24"/>
        </w:rPr>
        <w:t xml:space="preserve"> </w:t>
      </w:r>
      <w:r>
        <w:rPr>
          <w:sz w:val="24"/>
        </w:rPr>
        <w:t>recandosi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tabaccheria</w:t>
      </w:r>
      <w:r>
        <w:rPr>
          <w:spacing w:val="-1"/>
          <w:sz w:val="24"/>
        </w:rPr>
        <w:t xml:space="preserve"> </w:t>
      </w:r>
      <w:r>
        <w:rPr>
          <w:sz w:val="24"/>
        </w:rPr>
        <w:t>autorizzata).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63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Effettuato il versamento, l’avvocato del debitore presenta</w:t>
      </w:r>
      <w:r>
        <w:rPr>
          <w:sz w:val="24"/>
        </w:rPr>
        <w:t xml:space="preserve"> l’istanza di conversione del pignoramento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PCT,</w:t>
      </w:r>
      <w:r>
        <w:rPr>
          <w:spacing w:val="-2"/>
          <w:sz w:val="24"/>
        </w:rPr>
        <w:t xml:space="preserve"> </w:t>
      </w:r>
      <w:r>
        <w:rPr>
          <w:sz w:val="24"/>
        </w:rPr>
        <w:t>allegando la</w:t>
      </w:r>
      <w:r>
        <w:rPr>
          <w:spacing w:val="-2"/>
          <w:sz w:val="24"/>
        </w:rPr>
        <w:t xml:space="preserve"> </w:t>
      </w:r>
      <w:r>
        <w:rPr>
          <w:sz w:val="24"/>
        </w:rPr>
        <w:t>contabile</w:t>
      </w:r>
      <w:r>
        <w:rPr>
          <w:spacing w:val="-1"/>
          <w:sz w:val="24"/>
        </w:rPr>
        <w:t xml:space="preserve"> </w:t>
      </w:r>
      <w:r>
        <w:rPr>
          <w:sz w:val="24"/>
        </w:rPr>
        <w:t>dell’operazione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effettuato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precedenza.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63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Il giudice fissa l’udienza di comparizione delle parti per la conversione del pignoramento ed invita i</w:t>
      </w:r>
      <w:r>
        <w:rPr>
          <w:spacing w:val="-57"/>
          <w:sz w:val="24"/>
        </w:rPr>
        <w:t xml:space="preserve"> </w:t>
      </w:r>
      <w:r>
        <w:rPr>
          <w:sz w:val="24"/>
        </w:rPr>
        <w:t>creditori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depositare nota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precisazione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credito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spese.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68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Per l’udienza il cancelliere fornisce al giudice un estratto conto dal quale risul</w:t>
      </w:r>
      <w:r>
        <w:rPr>
          <w:sz w:val="24"/>
        </w:rPr>
        <w:t>ti il versamento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cauzione. Dopo l’udienza il giudice provvede ad emettere ordinanza nella quale determina la somma</w:t>
      </w:r>
      <w:r>
        <w:rPr>
          <w:spacing w:val="1"/>
          <w:sz w:val="24"/>
        </w:rPr>
        <w:t xml:space="preserve"> </w:t>
      </w:r>
      <w:r>
        <w:rPr>
          <w:sz w:val="24"/>
        </w:rPr>
        <w:t>da versare, l’ammontare delle rate, le singole scadenze e la successiva prima udienza di distribuzione</w:t>
      </w:r>
      <w:r>
        <w:rPr>
          <w:spacing w:val="1"/>
          <w:sz w:val="24"/>
        </w:rPr>
        <w:t xml:space="preserve"> </w:t>
      </w:r>
      <w:r>
        <w:rPr>
          <w:sz w:val="24"/>
        </w:rPr>
        <w:t>parziale. È opportuno che sia ag</w:t>
      </w:r>
      <w:r>
        <w:rPr>
          <w:sz w:val="24"/>
        </w:rPr>
        <w:t>giunto anche l’ammontare delle spese per la gestione del conto, che si</w:t>
      </w:r>
      <w:r>
        <w:rPr>
          <w:spacing w:val="-57"/>
          <w:sz w:val="24"/>
        </w:rPr>
        <w:t xml:space="preserve"> </w:t>
      </w:r>
      <w:r>
        <w:rPr>
          <w:sz w:val="24"/>
        </w:rPr>
        <w:t>può forfettariamente indicare in euro 500,00 se vi è un unico creditore, da maggiorare di euro 200,00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ulteriore creditore,</w:t>
      </w:r>
      <w:r>
        <w:rPr>
          <w:spacing w:val="-1"/>
          <w:sz w:val="24"/>
        </w:rPr>
        <w:t xml:space="preserve"> </w:t>
      </w:r>
      <w:r>
        <w:rPr>
          <w:sz w:val="24"/>
        </w:rPr>
        <w:t>salvo conguaglio.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351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debitore</w:t>
      </w:r>
      <w:r>
        <w:rPr>
          <w:spacing w:val="-11"/>
          <w:sz w:val="24"/>
        </w:rPr>
        <w:t xml:space="preserve"> </w:t>
      </w:r>
      <w:r>
        <w:rPr>
          <w:sz w:val="24"/>
        </w:rPr>
        <w:t>effettua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versamenti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uccessivi</w:t>
      </w:r>
      <w:r>
        <w:rPr>
          <w:spacing w:val="-11"/>
          <w:sz w:val="24"/>
        </w:rPr>
        <w:t xml:space="preserve"> </w:t>
      </w:r>
      <w:r>
        <w:rPr>
          <w:sz w:val="24"/>
        </w:rPr>
        <w:t>entro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scadenze</w:t>
      </w:r>
      <w:r>
        <w:rPr>
          <w:spacing w:val="-12"/>
          <w:sz w:val="24"/>
        </w:rPr>
        <w:t xml:space="preserve"> </w:t>
      </w:r>
      <w:r>
        <w:rPr>
          <w:sz w:val="24"/>
        </w:rPr>
        <w:t>stabilite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punto</w:t>
      </w:r>
      <w:r>
        <w:rPr>
          <w:spacing w:val="-58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(assegno</w:t>
      </w:r>
      <w:r>
        <w:rPr>
          <w:spacing w:val="-1"/>
          <w:sz w:val="24"/>
        </w:rPr>
        <w:t xml:space="preserve"> </w:t>
      </w:r>
      <w:r>
        <w:rPr>
          <w:sz w:val="24"/>
        </w:rPr>
        <w:t>circolare o</w:t>
      </w:r>
      <w:r>
        <w:rPr>
          <w:spacing w:val="-2"/>
          <w:sz w:val="24"/>
        </w:rPr>
        <w:t xml:space="preserve"> </w:t>
      </w:r>
      <w:r>
        <w:rPr>
          <w:sz w:val="24"/>
        </w:rPr>
        <w:t>bonifico).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493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Entro la prima udienza di distribuzione ciascun </w:t>
      </w:r>
      <w:r>
        <w:rPr>
          <w:b/>
          <w:sz w:val="24"/>
        </w:rPr>
        <w:t xml:space="preserve">creditore </w:t>
      </w:r>
      <w:r>
        <w:rPr>
          <w:sz w:val="24"/>
        </w:rPr>
        <w:t>deve depositare, anch’egli nel fascicolo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dell’esecuzione,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CREDITORE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 allega.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502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Per ogni udienza di distribuzione, il cancelliere fornisce al giudice un estratto conto aggiornato.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All’esito dell’udienza di distribuzione il </w:t>
      </w:r>
      <w:r>
        <w:rPr>
          <w:sz w:val="24"/>
        </w:rPr>
        <w:t xml:space="preserve">giudice emette ordinanza di assegnazione e, con separato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vedimento</w:t>
      </w:r>
      <w:proofErr w:type="spellEnd"/>
      <w:r>
        <w:rPr>
          <w:sz w:val="24"/>
        </w:rPr>
        <w:t>, il mandato di pagamento, controfirmato dal cancelliere che verifica l’esattezza dei dati in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-1"/>
          <w:sz w:val="24"/>
        </w:rPr>
        <w:t xml:space="preserve"> </w:t>
      </w:r>
      <w:r>
        <w:rPr>
          <w:sz w:val="24"/>
        </w:rPr>
        <w:t>riportati.</w:t>
      </w:r>
    </w:p>
    <w:p w:rsidR="00F570D3" w:rsidRDefault="00760730">
      <w:pPr>
        <w:pStyle w:val="Paragrafoelenco"/>
        <w:numPr>
          <w:ilvl w:val="0"/>
          <w:numId w:val="1"/>
        </w:numPr>
        <w:tabs>
          <w:tab w:val="left" w:pos="541"/>
        </w:tabs>
        <w:ind w:left="540" w:right="0" w:hanging="428"/>
        <w:jc w:val="both"/>
        <w:rPr>
          <w:sz w:val="24"/>
        </w:rPr>
      </w:pPr>
      <w:r>
        <w:rPr>
          <w:sz w:val="24"/>
        </w:rPr>
        <w:t>All’ultima</w:t>
      </w:r>
      <w:r>
        <w:rPr>
          <w:spacing w:val="-3"/>
          <w:sz w:val="24"/>
        </w:rPr>
        <w:t xml:space="preserve"> </w:t>
      </w:r>
      <w:r>
        <w:rPr>
          <w:sz w:val="24"/>
        </w:rPr>
        <w:t>udienza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distribuzione,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giudice</w:t>
      </w:r>
      <w:r>
        <w:rPr>
          <w:spacing w:val="-2"/>
          <w:sz w:val="24"/>
        </w:rPr>
        <w:t xml:space="preserve"> </w:t>
      </w:r>
      <w:r>
        <w:rPr>
          <w:sz w:val="24"/>
        </w:rPr>
        <w:t>ordina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chiusura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conto».</w:t>
      </w:r>
    </w:p>
    <w:p w:rsidR="00F570D3" w:rsidRDefault="00760730">
      <w:pPr>
        <w:spacing w:before="144"/>
        <w:ind w:left="113"/>
        <w:jc w:val="both"/>
        <w:rPr>
          <w:sz w:val="28"/>
        </w:rPr>
      </w:pPr>
      <w:r>
        <w:rPr>
          <w:sz w:val="28"/>
        </w:rPr>
        <w:t>Aversa,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febbraio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</w:p>
    <w:p w:rsidR="00F570D3" w:rsidRDefault="00760730">
      <w:pPr>
        <w:spacing w:before="4" w:line="500" w:lineRule="atLeast"/>
        <w:ind w:left="6342" w:right="96" w:firstLine="2033"/>
        <w:rPr>
          <w:sz w:val="28"/>
        </w:rPr>
      </w:pPr>
      <w:r>
        <w:rPr>
          <w:sz w:val="28"/>
        </w:rPr>
        <w:t>Il presidente</w:t>
      </w:r>
      <w:r>
        <w:rPr>
          <w:spacing w:val="-67"/>
          <w:sz w:val="28"/>
        </w:rPr>
        <w:t xml:space="preserve"> </w:t>
      </w:r>
      <w:r>
        <w:rPr>
          <w:sz w:val="28"/>
        </w:rPr>
        <w:t>dott.</w:t>
      </w:r>
      <w:r>
        <w:rPr>
          <w:spacing w:val="-6"/>
          <w:sz w:val="28"/>
        </w:rPr>
        <w:t xml:space="preserve"> </w:t>
      </w:r>
      <w:r>
        <w:rPr>
          <w:sz w:val="28"/>
        </w:rPr>
        <w:t>Michelangelo</w:t>
      </w:r>
      <w:r>
        <w:rPr>
          <w:spacing w:val="-6"/>
          <w:sz w:val="28"/>
        </w:rPr>
        <w:t xml:space="preserve"> </w:t>
      </w:r>
      <w:r>
        <w:rPr>
          <w:sz w:val="28"/>
        </w:rPr>
        <w:t>Petruzziello</w:t>
      </w:r>
    </w:p>
    <w:p w:rsidR="00F570D3" w:rsidRDefault="00760730">
      <w:pPr>
        <w:spacing w:before="130" w:line="228" w:lineRule="auto"/>
        <w:ind w:left="7535" w:right="290"/>
        <w:rPr>
          <w:rFonts w:ascii="Tahoma"/>
          <w:sz w:val="16"/>
        </w:rPr>
      </w:pPr>
      <w:r>
        <w:rPr>
          <w:noProof/>
        </w:rPr>
        <w:drawing>
          <wp:anchor distT="0" distB="0" distL="0" distR="0" simplePos="0" relativeHeight="487549440" behindDoc="1" locked="0" layoutInCell="1" allowOverlap="1">
            <wp:simplePos x="0" y="0"/>
            <wp:positionH relativeFrom="page">
              <wp:posOffset>4954190</wp:posOffset>
            </wp:positionH>
            <wp:positionV relativeFrom="paragraph">
              <wp:posOffset>105298</wp:posOffset>
            </wp:positionV>
            <wp:extent cx="464343" cy="4325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43" cy="43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105"/>
          <w:sz w:val="16"/>
        </w:rPr>
        <w:t>PETRUZZIELLO</w:t>
      </w:r>
      <w:r>
        <w:rPr>
          <w:rFonts w:ascii="Tahoma"/>
          <w:spacing w:val="1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MICHELANGELO</w:t>
      </w:r>
      <w:r>
        <w:rPr>
          <w:rFonts w:ascii="Tahoma"/>
          <w:spacing w:val="1"/>
          <w:w w:val="105"/>
          <w:sz w:val="16"/>
        </w:rPr>
        <w:t xml:space="preserve"> </w:t>
      </w:r>
      <w:r>
        <w:rPr>
          <w:rFonts w:ascii="Tahoma"/>
          <w:spacing w:val="-2"/>
          <w:w w:val="105"/>
          <w:sz w:val="16"/>
        </w:rPr>
        <w:t>MINISTERO</w:t>
      </w:r>
      <w:r>
        <w:rPr>
          <w:rFonts w:ascii="Tahoma"/>
          <w:spacing w:val="-9"/>
          <w:w w:val="105"/>
          <w:sz w:val="16"/>
        </w:rPr>
        <w:t xml:space="preserve"> </w:t>
      </w:r>
      <w:r>
        <w:rPr>
          <w:rFonts w:ascii="Tahoma"/>
          <w:spacing w:val="-1"/>
          <w:w w:val="105"/>
          <w:sz w:val="16"/>
        </w:rPr>
        <w:t>DELLA</w:t>
      </w:r>
    </w:p>
    <w:p w:rsidR="00F570D3" w:rsidRDefault="00760730">
      <w:pPr>
        <w:tabs>
          <w:tab w:val="left" w:pos="7534"/>
        </w:tabs>
        <w:spacing w:before="19" w:line="172" w:lineRule="auto"/>
        <w:ind w:left="4878"/>
        <w:rPr>
          <w:rFonts w:ascii="Tahoma"/>
          <w:sz w:val="16"/>
        </w:rPr>
      </w:pPr>
      <w:r>
        <w:rPr>
          <w:position w:val="-11"/>
        </w:rPr>
        <w:t>2</w:t>
      </w:r>
      <w:r>
        <w:rPr>
          <w:position w:val="-11"/>
        </w:rPr>
        <w:tab/>
      </w:r>
      <w:r>
        <w:rPr>
          <w:rFonts w:ascii="Tahoma"/>
          <w:sz w:val="16"/>
        </w:rPr>
        <w:t>GIUSTIZIA</w:t>
      </w:r>
    </w:p>
    <w:sectPr w:rsidR="00F570D3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E1A09"/>
    <w:multiLevelType w:val="hybridMultilevel"/>
    <w:tmpl w:val="FA3EB302"/>
    <w:lvl w:ilvl="0" w:tplc="0180F6A6">
      <w:start w:val="1"/>
      <w:numFmt w:val="decimal"/>
      <w:lvlText w:val="%1)"/>
      <w:lvlJc w:val="left"/>
      <w:pPr>
        <w:ind w:left="113" w:hanging="243"/>
        <w:jc w:val="left"/>
      </w:pPr>
      <w:rPr>
        <w:rFonts w:ascii="Goudy Old Style" w:eastAsia="Goudy Old Style" w:hAnsi="Goudy Old Style" w:cs="Goudy Old Style" w:hint="default"/>
        <w:w w:val="100"/>
        <w:sz w:val="24"/>
        <w:szCs w:val="24"/>
        <w:lang w:val="it-IT" w:eastAsia="en-US" w:bidi="ar-SA"/>
      </w:rPr>
    </w:lvl>
    <w:lvl w:ilvl="1" w:tplc="CA92DC32">
      <w:numFmt w:val="bullet"/>
      <w:lvlText w:val="•"/>
      <w:lvlJc w:val="left"/>
      <w:pPr>
        <w:ind w:left="7540" w:hanging="243"/>
      </w:pPr>
      <w:rPr>
        <w:rFonts w:hint="default"/>
        <w:lang w:val="it-IT" w:eastAsia="en-US" w:bidi="ar-SA"/>
      </w:rPr>
    </w:lvl>
    <w:lvl w:ilvl="2" w:tplc="20F6CC42">
      <w:numFmt w:val="bullet"/>
      <w:lvlText w:val="•"/>
      <w:lvlJc w:val="left"/>
      <w:pPr>
        <w:ind w:left="7798" w:hanging="243"/>
      </w:pPr>
      <w:rPr>
        <w:rFonts w:hint="default"/>
        <w:lang w:val="it-IT" w:eastAsia="en-US" w:bidi="ar-SA"/>
      </w:rPr>
    </w:lvl>
    <w:lvl w:ilvl="3" w:tplc="780CC452">
      <w:numFmt w:val="bullet"/>
      <w:lvlText w:val="•"/>
      <w:lvlJc w:val="left"/>
      <w:pPr>
        <w:ind w:left="8056" w:hanging="243"/>
      </w:pPr>
      <w:rPr>
        <w:rFonts w:hint="default"/>
        <w:lang w:val="it-IT" w:eastAsia="en-US" w:bidi="ar-SA"/>
      </w:rPr>
    </w:lvl>
    <w:lvl w:ilvl="4" w:tplc="FFF63E26">
      <w:numFmt w:val="bullet"/>
      <w:lvlText w:val="•"/>
      <w:lvlJc w:val="left"/>
      <w:pPr>
        <w:ind w:left="8315" w:hanging="243"/>
      </w:pPr>
      <w:rPr>
        <w:rFonts w:hint="default"/>
        <w:lang w:val="it-IT" w:eastAsia="en-US" w:bidi="ar-SA"/>
      </w:rPr>
    </w:lvl>
    <w:lvl w:ilvl="5" w:tplc="B46C22CC">
      <w:numFmt w:val="bullet"/>
      <w:lvlText w:val="•"/>
      <w:lvlJc w:val="left"/>
      <w:pPr>
        <w:ind w:left="8573" w:hanging="243"/>
      </w:pPr>
      <w:rPr>
        <w:rFonts w:hint="default"/>
        <w:lang w:val="it-IT" w:eastAsia="en-US" w:bidi="ar-SA"/>
      </w:rPr>
    </w:lvl>
    <w:lvl w:ilvl="6" w:tplc="5D060EE6">
      <w:numFmt w:val="bullet"/>
      <w:lvlText w:val="•"/>
      <w:lvlJc w:val="left"/>
      <w:pPr>
        <w:ind w:left="8832" w:hanging="243"/>
      </w:pPr>
      <w:rPr>
        <w:rFonts w:hint="default"/>
        <w:lang w:val="it-IT" w:eastAsia="en-US" w:bidi="ar-SA"/>
      </w:rPr>
    </w:lvl>
    <w:lvl w:ilvl="7" w:tplc="CDEC76B0">
      <w:numFmt w:val="bullet"/>
      <w:lvlText w:val="•"/>
      <w:lvlJc w:val="left"/>
      <w:pPr>
        <w:ind w:left="9090" w:hanging="243"/>
      </w:pPr>
      <w:rPr>
        <w:rFonts w:hint="default"/>
        <w:lang w:val="it-IT" w:eastAsia="en-US" w:bidi="ar-SA"/>
      </w:rPr>
    </w:lvl>
    <w:lvl w:ilvl="8" w:tplc="AF665694">
      <w:numFmt w:val="bullet"/>
      <w:lvlText w:val="•"/>
      <w:lvlJc w:val="left"/>
      <w:pPr>
        <w:ind w:left="9349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7F6465BF"/>
    <w:multiLevelType w:val="hybridMultilevel"/>
    <w:tmpl w:val="423A2058"/>
    <w:lvl w:ilvl="0" w:tplc="42AE8E34">
      <w:start w:val="1"/>
      <w:numFmt w:val="lowerLetter"/>
      <w:lvlText w:val="%1)"/>
      <w:lvlJc w:val="left"/>
      <w:pPr>
        <w:ind w:left="3322" w:hanging="231"/>
        <w:jc w:val="right"/>
      </w:pPr>
      <w:rPr>
        <w:rFonts w:ascii="Goudy Old Style" w:eastAsia="Goudy Old Style" w:hAnsi="Goudy Old Style" w:cs="Goudy Old Style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DC86AC58">
      <w:numFmt w:val="bullet"/>
      <w:lvlText w:val="•"/>
      <w:lvlJc w:val="left"/>
      <w:pPr>
        <w:ind w:left="3974" w:hanging="231"/>
      </w:pPr>
      <w:rPr>
        <w:rFonts w:hint="default"/>
        <w:lang w:val="it-IT" w:eastAsia="en-US" w:bidi="ar-SA"/>
      </w:rPr>
    </w:lvl>
    <w:lvl w:ilvl="2" w:tplc="5D921484">
      <w:numFmt w:val="bullet"/>
      <w:lvlText w:val="•"/>
      <w:lvlJc w:val="left"/>
      <w:pPr>
        <w:ind w:left="4629" w:hanging="231"/>
      </w:pPr>
      <w:rPr>
        <w:rFonts w:hint="default"/>
        <w:lang w:val="it-IT" w:eastAsia="en-US" w:bidi="ar-SA"/>
      </w:rPr>
    </w:lvl>
    <w:lvl w:ilvl="3" w:tplc="60CAA630">
      <w:numFmt w:val="bullet"/>
      <w:lvlText w:val="•"/>
      <w:lvlJc w:val="left"/>
      <w:pPr>
        <w:ind w:left="5283" w:hanging="231"/>
      </w:pPr>
      <w:rPr>
        <w:rFonts w:hint="default"/>
        <w:lang w:val="it-IT" w:eastAsia="en-US" w:bidi="ar-SA"/>
      </w:rPr>
    </w:lvl>
    <w:lvl w:ilvl="4" w:tplc="0B367A3C">
      <w:numFmt w:val="bullet"/>
      <w:lvlText w:val="•"/>
      <w:lvlJc w:val="left"/>
      <w:pPr>
        <w:ind w:left="5938" w:hanging="231"/>
      </w:pPr>
      <w:rPr>
        <w:rFonts w:hint="default"/>
        <w:lang w:val="it-IT" w:eastAsia="en-US" w:bidi="ar-SA"/>
      </w:rPr>
    </w:lvl>
    <w:lvl w:ilvl="5" w:tplc="EB7C8E2C">
      <w:numFmt w:val="bullet"/>
      <w:lvlText w:val="•"/>
      <w:lvlJc w:val="left"/>
      <w:pPr>
        <w:ind w:left="6593" w:hanging="231"/>
      </w:pPr>
      <w:rPr>
        <w:rFonts w:hint="default"/>
        <w:lang w:val="it-IT" w:eastAsia="en-US" w:bidi="ar-SA"/>
      </w:rPr>
    </w:lvl>
    <w:lvl w:ilvl="6" w:tplc="B0763CAA">
      <w:numFmt w:val="bullet"/>
      <w:lvlText w:val="•"/>
      <w:lvlJc w:val="left"/>
      <w:pPr>
        <w:ind w:left="7247" w:hanging="231"/>
      </w:pPr>
      <w:rPr>
        <w:rFonts w:hint="default"/>
        <w:lang w:val="it-IT" w:eastAsia="en-US" w:bidi="ar-SA"/>
      </w:rPr>
    </w:lvl>
    <w:lvl w:ilvl="7" w:tplc="9E603E4E">
      <w:numFmt w:val="bullet"/>
      <w:lvlText w:val="•"/>
      <w:lvlJc w:val="left"/>
      <w:pPr>
        <w:ind w:left="7902" w:hanging="231"/>
      </w:pPr>
      <w:rPr>
        <w:rFonts w:hint="default"/>
        <w:lang w:val="it-IT" w:eastAsia="en-US" w:bidi="ar-SA"/>
      </w:rPr>
    </w:lvl>
    <w:lvl w:ilvl="8" w:tplc="B874B232">
      <w:numFmt w:val="bullet"/>
      <w:lvlText w:val="•"/>
      <w:lvlJc w:val="left"/>
      <w:pPr>
        <w:ind w:left="8557" w:hanging="2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3"/>
    <w:rsid w:val="00760730"/>
    <w:rsid w:val="00F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EF95-57F7-4DB4-A391-386C7E5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Goudy Old Style" w:eastAsia="Goudy Old Style" w:hAnsi="Goudy Old Style" w:cs="Goudy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059" w:right="206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3" w:right="1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>Ministero della Giustizia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Petruzziello</dc:creator>
  <cp:lastModifiedBy>Luigi Picardi</cp:lastModifiedBy>
  <cp:revision>2</cp:revision>
  <dcterms:created xsi:type="dcterms:W3CDTF">2024-02-08T11:31:00Z</dcterms:created>
  <dcterms:modified xsi:type="dcterms:W3CDTF">2024-02-08T11:31:00Z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2024-02-08T00:00:00Z</vt:filetime>
  </property>
</Properties>
</file>